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76" w:rsidRPr="00AA7476" w:rsidRDefault="00AA7476" w:rsidP="00AA7476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Cs/>
          <w:lang w:val="ro-RO" w:eastAsia="ru-RU"/>
        </w:rPr>
      </w:pPr>
      <w:r w:rsidRPr="00AA7476">
        <w:rPr>
          <w:rFonts w:ascii="Times New Roman" w:eastAsia="Times New Roman" w:hAnsi="Times New Roman" w:cs="Times New Roman"/>
          <w:shd w:val="clear" w:color="auto" w:fill="FFFFFF"/>
          <w:lang w:val="ro-RO"/>
        </w:rPr>
        <w:t>„</w:t>
      </w:r>
      <w:r w:rsidRPr="00AA7476">
        <w:rPr>
          <w:rFonts w:ascii="Times New Roman" w:eastAsia="Times New Roman" w:hAnsi="Times New Roman" w:cs="Times New Roman"/>
          <w:bCs/>
          <w:lang w:val="ro-RO" w:eastAsia="ru-RU"/>
        </w:rPr>
        <w:t>Anexa nr. 3</w:t>
      </w:r>
    </w:p>
    <w:p w:rsidR="00AA7476" w:rsidRPr="00AA7476" w:rsidRDefault="00AA7476" w:rsidP="00AA74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val="ro-RO" w:eastAsia="ru-RU"/>
        </w:rPr>
      </w:pPr>
      <w:r w:rsidRPr="00AA7476">
        <w:rPr>
          <w:rFonts w:ascii="Times New Roman" w:eastAsia="Times New Roman" w:hAnsi="Times New Roman" w:cs="Times New Roman"/>
          <w:lang w:val="ro-RO" w:eastAsia="ru-RU"/>
        </w:rPr>
        <w:t>la Hotărârea Guvernului nr. 1020/2011</w:t>
      </w:r>
    </w:p>
    <w:p w:rsidR="00AA7476" w:rsidRPr="00AA7476" w:rsidRDefault="00AA7476" w:rsidP="00AA7476">
      <w:pPr>
        <w:spacing w:after="0" w:line="240" w:lineRule="auto"/>
        <w:ind w:left="6480" w:firstLine="709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AA7476" w:rsidRPr="00AA7476" w:rsidRDefault="00AA7476" w:rsidP="00AA74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A747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CATALOGUL TARIFELOR UNICE</w:t>
      </w:r>
    </w:p>
    <w:p w:rsidR="00AA7476" w:rsidRPr="00AA7476" w:rsidRDefault="00AA7476" w:rsidP="00AA74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A747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pentru serviciile medico-sanitare prestate contra plată de către instituțiile medico-sanitare publice, precum și pentru serviciile acoperite din fondurile asigurării obligatorii de asistență medicală prestate de instituțiile </w:t>
      </w:r>
      <w:r w:rsidRPr="00AA747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br/>
        <w:t>medico-sanitare publice și cele private</w:t>
      </w:r>
    </w:p>
    <w:p w:rsidR="00AA7476" w:rsidRPr="00AA7476" w:rsidRDefault="00AA7476" w:rsidP="00AA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988"/>
        <w:gridCol w:w="1383"/>
        <w:gridCol w:w="851"/>
      </w:tblGrid>
      <w:tr w:rsidR="00AA7476" w:rsidRPr="00AA7476" w:rsidTr="00BE0B1E">
        <w:trPr>
          <w:cantSplit/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Nr. crt.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Denumirea serviciilor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Unitatea de măsură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ind w:left="-109" w:right="-1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Tarifele (lei)</w:t>
            </w:r>
          </w:p>
        </w:tc>
      </w:tr>
      <w:tr w:rsidR="00AA7476" w:rsidRPr="00AA7476" w:rsidTr="00BE0B1E">
        <w:trPr>
          <w:cantSplit/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5988" w:type="dxa"/>
            <w:shd w:val="clear" w:color="auto" w:fill="auto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383" w:type="dxa"/>
            <w:shd w:val="clear" w:color="auto" w:fill="auto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4</w:t>
            </w:r>
          </w:p>
        </w:tc>
      </w:tr>
    </w:tbl>
    <w:p w:rsidR="00AA7476" w:rsidRPr="00AA7476" w:rsidRDefault="00AA7476" w:rsidP="00AA7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val="en-US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5988"/>
        <w:gridCol w:w="1383"/>
        <w:gridCol w:w="830"/>
      </w:tblGrid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Capitolul A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STOMATOLOGIE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I. Consultații stomatologice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stomatolog, profesor-doctor habilitat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stomatolog, conferențiar-doctor în științe medicale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stomatolog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II. Activități efectuate în cabinetul stomatologic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Amprentă cu masă amprentară pe bază de silicon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amprentă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Amprentă în două straturi 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amprentă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Amprentă cu masă amprentară pe bază de anginat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amprentă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176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Turnarea modelului de studiu/de lucru/de control în ghips pentru o arcadă dentară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model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169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Analiza ortopantomogramei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Analiza tomografiei totale a maxilei/mandibulei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Analiza tomografiei segmentare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211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III. Anestezie în stomatologie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Anestezie locală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locală (infiltrație plexală)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184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locală/loco-regională cu carpule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topică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2. Anestezie generală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anesteziolog, profesor-doctor habilitat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consultație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301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anesteziolog, conferențiar-doctor în științe medicale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consultație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243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Consultația medicului anesteziolog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consultație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205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inhalatorie de scurtă durată cu Sevofluran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scurtă durată cu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905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scurtă durată cu Sevofluran și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1 073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scurtă durată cu Sevofluran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2 061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lungă durată cu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1 644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Propofol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2 687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lungă durată cu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1 451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Sevofluran și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3 058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Sevofluran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3 075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Premedicație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433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IV. Tratamentul dinților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Tratament endodontic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canalului radicular cu ultrasunet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Reconstrucție perete-pre-endo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monocanalar (obturație temporară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bicanalar (obturație temporară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362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pluricanalar (obturație temporară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445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monocanalar (obturație definitivă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325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33.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bicanalar (obturație definitivă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458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pluricanalar (obturație definitivă de canal)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541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asistat de microscop stomatologic al unui canal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743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Dezobturarea canalului radicular (un canal)/ Înlăturare corp străin din canal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419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pastei devitalizante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159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 endodontic prin amputarea pulpei coronare (parțială/subtotală/totală)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379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2. Tratament coronar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cariei dentare cu material ciment glassionomer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cariei dentare cu material compozit autopolimerizabil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cariei dentare cu material compozit fotopolimeric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material glassionomer fără pivot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material compozit autopolimerizabil fără pivot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573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 material compozit fotopolimeric fără pivot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material compozit autopolimerizabil cu pivot metalic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710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material compozit fotopolimeric cu pivot metalic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768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 coronară dentară din material compozit fotopolimeric cu pivot de fibră optică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Restaurarea breșei unidentare cu punți adezive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3. Profilaxie stomatologică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(inclusiv a complicațiilor afecțiunilor stomatologice)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Detartraj cu ultrasunet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Igienizarea cavității bucale cu ajutorul air flow-ului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323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Periaj dentar profesional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211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Sigilarea fisurilor unui dinte cu scop profilactic cu material ciment glassiomer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176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Sigilarea fisurilor unui dinte cu scop profilactic cu material compozit fotopolimeric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Profilaxia cariei dentare (prin remineralizare și infiltrare)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226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gutierei (bruxism)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maxilar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sensibilității (1 arcadă), cu aplicarea gutierei individuale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1 508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4. Tratamente ale afecțiunilor muco-parodontale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afecțiunilor mucoasei cavității bucale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parodontitei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322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59.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Chiuretaj subgingival ( 2-3 dinți) în câmp închis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345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Atelizarea (șinarea) dinților cu fibră optică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5. Tratamentul discromiilor dentare/manipulări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stomatologice estetice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Albirea dinților în cabinet (1 dinte)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267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Albirea dinților cu aplicarea gutierei individuale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1 488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Microabraziunea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388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coferdamului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164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Albire internă (intracoronară)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459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bijuteriei dentare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Fațetare directă (din compozit)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V. Chirurgie oro-maxilo-facială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Activități în cabinetul chirurgical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Extracția dintelui fără anestezie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extracție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262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Extracția dintelui cu anestezie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extracție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452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Extracție dentară atipică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extracție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828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Extracția dintelui inclus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extracție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1 434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Extracția dintelui inclavat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extracție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73.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Hemostază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Alveolotomie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606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tumorii benigne a țesuturilor moi (cu diametrul sub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767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76.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tumorii benigne a țesuturilor moi (cu diametrul mai mare de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925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Rezecție apicală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Chistectomie (cu diametrul până la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760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Chistectomie (cu diametrul mai mare de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1 238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Frenuloplastie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Gingivectomie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380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proceselor inflamatorii odontogene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proceselor inflamatorii fără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618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Operculectomie (decapisonare)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Sinusotomie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1 114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ateromului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papilomului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lipomului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89.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fibromului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Secvestrectomie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Prelucrarea chirurgicală primară a plăgii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Deschiderea și drenarea furunculului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618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Limfadenită acută – deschiderea și drenarea abcesului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618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Sialodenită – înlăturarea calculului din ductul salivar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776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Chiuretaj pe câmp deschis în zona a 2-3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Chiuretaj pe câmp deschis în zona a 4-5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hidroxiapatită la 2-3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2 154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hidroxiapatită la 4-5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2 640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99.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material de augmentare sintetic la 2-3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2 154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material de augmentare sintetic la 4-5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2 640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augmentare și mebrană în zona a 2-3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2 154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osului cu augmentare și mebrană în zona a 4-5 dinți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2 640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afecțiunilor articulației temporo-mandibulare cu introducerea medicamentelor în cavitatea articulară, prin injectare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513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Premolarizare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alveolitei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nevralgiei prin metoda de blocare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Repoziționarea luxației acute a articulației temporo-mandibulare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108.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Imobilizarea fracturilor 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șinare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3 003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Pansament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258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2. Implantologie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Inserarea implantului de stadiul I (monolit)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3 837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Inserarea implantului de stadiul II într-o etapă chirurgicală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5 137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Inserarea implantului de stadiul II în două etape chirurgicale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5 577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Sinus Lifting lateral cu utilizarea materialelor sintetice de augmentare și a membranei rezorbabile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7 103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Sinus Lifting crestal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1 827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Transpoziția nervului alveolar inferior cu inserarea simultană a implanturilor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7 765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Sinus lifting lateral cu utilizarea materialelor xenogene de augumentare și a membranei rezorbabile, cu inserarea simultană a implanturilor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8 532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Sinus lifting crestal cu utilizarea materialelor xenogene de augumentare și inserarea simultană a implantului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5 183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defectelor osoase în zona crestei alveolare cu grefă liberă de țesut osos autogen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4 495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119.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defectelor osoase în zona crestei alveolare cu plasă din titan și material de augumentare sintetic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4 812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Sinus Lifting lateral cu utilizarea materialelor sintetice de augmentare și a membranei rezorbabile fără inserarea simultană a implanturilor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2 381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Crearea ofertei osoase prin metoda regenerării osoase ghidate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4 864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Plastia defectelor osoase în zona apofizei alveolare prin metoda Splitting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4 562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Crearea ofertei osoase prin metoda de osteodistracție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4 864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Augmentarea defectelor cavitare cu utilizarea materialelor sintetice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4 070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Augmentarea defectelor cavitare cu utilizarea materialelor xenogene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3 440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126.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Osteoplastia defectelor osoase în zona crestei alveolare cu plasă din titan și material de augumentare xenogen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6 025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Sinus lifting lateral cu utilizarea materialelor xenogene de augumentare și a membranei rezorbabile, fără inserarea simultană a implanturilor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8 056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Vestibuloplastie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1 579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129.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Gingivoplastia cu grefă liberă epitelială (1-3 dinți)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2 631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Gingivoplastia cu grefă liberă epitelială (4-6 dinți)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3 117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131.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Plastia comunicării orosinusale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1 114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Utilizarea PRF-ului în calitate de material autogen de regenerare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4 469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Utilizarea PRP-ului în calitate de material autogen de regenerare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2 789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atelei la un maxilar după consolidarea fracturii posttraumatice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intervenție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VI. Tratamente protetice dentare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Proteze mobilizabile acrilice cu dinți din acrilat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Microproteză (până la 3 dinți)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1 165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parțială (4-10 dinți)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2 053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totală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2 333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parțială cu bază elastică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4 496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139.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totală cu bază elastică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4 755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șinei pentru pugiliști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3 321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protezei parțiale sau totale cu bază metalică turnată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4 687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protezelor scheletate din biodentoplast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5 487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lingurii individuale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lingură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352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2. Lucrări suplimentare la protezele mobilizabile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Izolarea torusului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torus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Armarea bazei cu rețea metalică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bază arm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Ajustarea și aplicarea mezostructurii pe implant (proteză mobilizabilă)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unitate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Aprecierea și fixarea RIM în ocluzie stabilă cu blocuri ocluzale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Aprecierea și fixarea RIM în ocluzie instabilă (cu blocuri ocluzale sau borduri de ocluzie)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149.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Aprecierea și fixarea RC la dentat în lipsa ocluziei (cu borduri de ocluzie)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Aprecierea și fixarea RC la edentatul total (cu borduri de ocluzie)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722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Rebazarea protezei mobilizabile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Reparația protezei mobilizabile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Alipirea unei croșete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411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Vizită secundară la fiecare etapă de confecționare și ajustare a protezelor dentare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vizită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3. Proteze fixe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Vinir din ceramică prin tehnica de laborator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unitate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4 028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cu înveliș din metal inoxidabil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802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cu înveliș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1 095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mixt cu înveliș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1 139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159.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de porțelan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2 985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Incrustație cu pivot din oțel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incrustație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474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Dinte turnat din oțel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Reparația fațetei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fațetă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260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Fixarea coroanei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Ablațiunea coroanei turnate (descimentare)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unitate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210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Fixarea provizorie a unei coroane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4. Proteze scheletate turnate din cobalt–crom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Proteze scheletate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4 815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Proteze scheletate pe culise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6 470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5. Confecționarea protezelor turnate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metalic turnat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169.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metalo-acrilic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/Dinte metalo-ceramic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metalic turnat (Cr.Ni/Cr.Co.)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lastRenderedPageBreak/>
              <w:t>791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metalo-acrilic din (Cr.Ni/Cr.Co.)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1 084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metalo-ceramic din (Cr.Ni/Cr.Co.)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 Dinte frezat din titan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2 088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din titan acoperit cu ceramică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2 428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frezat din oxid de zirconiu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3 195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 Dinte din oxid de zirconiu acoperit cu ceramică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4 113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 Dinte din ceramică presată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3 101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6. Confecționarea protezelor turnate fixate pe implant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în două etape chirurgicale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179.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metalică turnată (oțel/Cr.Ni/Cr.Co) fixată pe implant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1 915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metalo-ceramică turnată (oțel/Cr.Ni/Cr.Co) fixată pe implant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2 899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metalo-ceramică turnată din titan fixată pe implant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3 415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metalo-ceramică din zirconiu fixată pe implant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3 996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 ceramică presată fixată pe implant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3 224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7. Proteze fixe suflate Ti-N (nitrit-titan)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mixt cu înveliș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mixtă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1 149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de înveliș din oțel inoxidabil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850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Coroană/Dinte metalic turnat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833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8. Servicii de turnătorie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Turnare corpuri de punte simple 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corp de punte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Pivoți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pivot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189.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Turnare corpuri de punte pentru protezele MC, MA și coroane turnate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corp de punte/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coroană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Turnare proteze arcate simple din Cr/Co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971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Turnare proteze arcate dublate Co/Cr      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1 942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VII. Tratamente ortodontice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Activități efectuate în cabinetul ortodontic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Amprentă cu masa termoplastică Stens pentru obturator la nou-născuți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amprentă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291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Soclarea unui model în ghips pentru o arcadă dentară în soclu de plastic sau elastic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model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Studierea biometrică a modelelor de diagnostic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model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Analiză fotostatică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Alcătuirea planului de tratament și construirea aparatului ortodontic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model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950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Analiză cefalometrică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317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Stabilirea ocluziei corectate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325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199.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Exerciții de miogimnastică și corectarea viciilor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exercițiu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158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Reeducarea funcțională pentru înlăturarea obiceiurilor vicioase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Șlefuirea unui dinte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Aderarea arcului facial la aparatul dentar (fix, mobil)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Activarea elementelor active (resorturilor) a arcurilor principale și secundare, a șuruburilor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343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Activarea unui arc de expansiune Coffin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unui inel elastic pentru separarea fiziologică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inel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unui inel ortodontic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cimentare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rășinilor ocluzale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pintenilor linguali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759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Sudarea unui element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sudare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 xml:space="preserve">2. Confecționarea și reparația (refacerea) aparatelor </w:t>
            </w:r>
          </w:p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ortodontice și maxilo-faciale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de modificația Kingsley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802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211.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linguală Reichenbach-Buckl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Microproteză mobilă parțială (lipsa 1-3 dinți) pentru copii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989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totală pentru copii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1 281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Proteză parțial mobilizabilă flexibilă elastică (pe bază poliamidică termoplastică)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proteză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1 330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Activatorul Andersen-Haul (monoblocul)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activator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1 546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Aparat Hawley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862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sau linguală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Aparat cu plan înclinat retroincizal sau lateral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Gutieră (platou de înălțime lateral)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Aparat mobilizabil cu scut lingual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1 321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Menținător de spațiu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987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 Trainer funcțional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trainer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1 605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 Bărbiță de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bărbiță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789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 Mască Delaire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mască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1 467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Twin – block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1 956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Activatorul fenestrat (deschis) Klammt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activator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2 966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Bionatorul Balters (tipurile I, II, II)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bionator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2 582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Reglatorul funcțional Frankel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4 497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229.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(postoperatorie, de protecție simplă (de acoperire)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847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cu obturator Case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3 108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Obturatorul mobil Case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obturator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2 310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Aparatul McNeil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1 616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Aparatul McNeil modificat (PNC)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1 738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Reparația unui aparat (croșeta, arcul, arcul principal)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reparație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Căptușirea unui monobloc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căptușire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Căptușirea gutierei pentru fiecare sector de arcadă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căptușire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Disjunctor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disjunctor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2 792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3. Elementele principale și auxiliare ale aparatelor ortodontice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3.1. </w:t>
            </w: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Elemente din sârmă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simplă (dreaptă, ortopedică) din sârmă cu 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Schwarz cu săgeata din sârmă cu 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67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Croșetul Schwarz modificat din sârmă cu 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Adams din sârmă cu d × 0,6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57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Adams modificată din sârmă cu d × 0,7mm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210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Adams cu cârlig pentru tracțiunea elastică intermaxilară din sârmă cu d × 0,6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119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Jackson din sârmă cu 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119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Stahl din sârmă cu d × 0,6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48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Croșetă Stahl modificată din sârmă cu 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croșetă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transversal cu o mică buclă mediană din sârmă cu d × 0,8-0,9 mm (pentru reglatorul funcțional Frankel)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235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anse care înconjoară coroana caninilor superiori (pentru reglatorul funcțional Frankel) din sârmă cu 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anse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o-RO" w:eastAsia="ru-RU"/>
              </w:rPr>
              <w:t>191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249.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Elemente din sârmă pentru gutierele fenestrate (2) din sârmă cu </w:t>
            </w:r>
          </w:p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element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142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Arc vestibular propriu-zis cu 2 bucle de activare din sârmă cu </w:t>
            </w:r>
          </w:p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123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Arc vestibular total cu 2 bucle de activare din sârmă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214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vestibular cu buclă de activare modificată (cu acțiune la nivelul unui dinte)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palatin (palatal) Coffin din sârmă cu d × 1,2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100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în formă de „S” cu 2-3 curburi din sârmă cu d × 0,6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în „opt” din sârmă cu d × 0,6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95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Elemente din sârmă cu d × 0,8 mm pentru pelotele acrilice labiale (2)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element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Scut lingual din sârmă în aparatul mobil activ din sârmă cu 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scut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147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Scut lingual din sârmă în aparatul fix din sârmă cu d × 0,9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scut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259.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vestibular inversat din sârmă cu 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124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Cârlig mobil din sârmă pe arcul vestibular din sârmă cu 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cârlig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101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Arc lingual (retroincisiv inferior) sau oral (palatinal) din sârmă cu </w:t>
            </w:r>
          </w:p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 × 0,9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239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262.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Arc oral (palatinal) sau lingual în formă de ciupercă din sârmă cu </w:t>
            </w:r>
          </w:p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 × 0,7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Arc vestibular cu bucle modificate în placa de contenție din sârmă cu </w:t>
            </w:r>
          </w:p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 × 0,8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147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vestibular din sârmă cu d × 0,1 cm pentru bionatorul Balters și bionatorul Ianson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285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Gojgarean din sârmă cu d × 0,9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Arc Quad Helix din sârmă cu d × 0,9 mm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562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3.2. </w:t>
            </w: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Elemente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Gutieră fenestrată Napadov pe un sector de arcadă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gutieră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197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Pelotă acrilică labială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pelotă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276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269.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Pelotă acrilică vestibulară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pelotă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643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Plan înclinat retroincizal sau lateral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plan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261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Gutieră (platou de înălțime lateral) din acril pe un sector de arcadă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gutieră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283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Scut lateral din acril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scut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278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sau linguală (baza aparatului mobilizabil)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Placă palatinală despicată medio-sagital în disjunctorul Dericveiler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placă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Platou anteroincizal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platou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Acril moale (PM-01) pentru căptușirea plăcilor postoperatorii și (sau) a despicăturilor labio-maxilo-palatine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obturator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461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Porțiunea nazofaringiană a obturatorului mobil Case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porțiune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959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Porțiunea palatinală a obturatorului mobil Case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porțiune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929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279.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Instalarea (schimbarea) filetului simplu in baza aparatului mobilizabil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filet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203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280.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Instalarea (schimbarea) filetului cu trei direcții în baza aparatului mobilizabil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filet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641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281.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capei de contenție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282.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Confecționarea capei de bruxism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3.3. Aparate fixe moderne Bracket System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Fixare brackets-sitem metalici ligaturabili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5 440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Fixare brackets-sitem ceramică ligaturabili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8 332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Fixare brackets-sitem metalici autoligaturabili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7 922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Fixare brackets-sitem ceramică autoligaturabili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11 171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Aplicarea unui arc în tehnică fixă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 elastice/catenă/ligături de sârmă/ Kobazashi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178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Aplicare cârlige/resoare de închidere sau deschidere spații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bucată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308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Realizarea îndoiturilor pe arc ortodontic de ordin I și II  (bucla Omega, bucla de închidere, bucla helix)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549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Realizarea îndoiturilor pe arc ortodontic de ordin III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571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Fixarea reteinerului fix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813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Fixarea retainerului fix fisurat unimaxilar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715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Colajul unui bracket, tub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bracket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439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Colajul unui bracket (în caz de dezlipire)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bracket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405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Colajul unui buton pe dinte inclus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buton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489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Colajul unui buton pe suprafața orală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buton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Șlefuire interdentară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segment dentar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261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aparatului adeziv de pe un maxilar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aparat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424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aparatului adeziv unimaxilar, finisare și poleire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arcadă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Ancoraj scheletal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mini- implant ortodontic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466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VIII. Investigații rontgenologice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Ortopantomografie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Ortopantomografie sectorială (1 sector)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106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Viziografie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Radiografia dinților (3×4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dinților în regim digital, cu peliculă radiologică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dinților în regim digital, în format electronic (3x4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sinusurilor paranazale – 18×24 cm-1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309.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sinusurilor paranazale – 8×10in (20×24 cm), în regim digital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190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articulației temporo-mandibulare – 18×24 cm-2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articulației temporo-mandibulare – 8×10in (20×24 cm), în regim digital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190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articulației temporo-mandibulare – 11×14in (27×35)-1, în regim digital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212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mandibulei – 13×18 cm-1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Radiografia mandibulei – 8×10in (20×24)-1, în regim digital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Teleradiografia maxilarelor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investigație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200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IX. Servicii stomatologice prestate în cadrul „Programului Unic al Asigurărilor Obligatorii de asistență medicală ” caz tratat/serviciu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1. Consultații stomatologice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stomatolog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consultație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368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Consultația medicului anesteziolog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consultație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297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2. Tratamentul dinților permanenți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Obturarea defectelor coronariene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386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acute a dintelui monoradicular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734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acute a dintelui biradicular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acute a dintelui pluriradicular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1 012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acute a dintelui monoradicular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acute a dintelui biradicular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1 287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acute a dintelui pluriradicular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1 504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exacerbate a dintelui monoradicular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1 168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exacerbate a dintelui biradicular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1 401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exacerbate a dintelui pluriradicular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1 618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3. Tratamentul dinților temporari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Obturarea defectelor coronariene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378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dintelui monoradicular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588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dintelui biradicular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665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pulpitei dintelui pluriradicular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747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Tratarea periodontitei dintelui monoradicular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642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Tratarea periodontitei dintelui biradicular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Tratarea periodontitei dintelui pluriradicular 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801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335.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Tratament endodontic prin metoda amputării (parțială/subtotală/totală)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429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4. Chirurgie stomatologică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periodontitei cronice exacerbate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713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337.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Hemostază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Rezecție apicală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1 009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chirurgical (chistectomie) al unui chist supurant (cu diametrul până la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chirurgical (chistectomie) al unui chist supurant (cu diametrul mai mare de 0,5 cm)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1 794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341.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Plastia comunicării orosinusale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1 114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Operație pericoronariană – decapișonare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755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Secvestrectomie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1 553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Prelucrarea chirurgicală primară a plăgii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982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Disecția furunculului/carbunculului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856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Disecția abscesului în cazul limfadenitei acute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856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Înlăturarea concrementului din ductul salivar la sialonita acută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856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chirurgical al abcesului, periostitei fără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1 094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chirurgical al abcesului, periostitei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1 570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abcesului, periostitei provocate de distopia dintelui 8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1 593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abcesului, periostitei provocate de dintele 8 inclus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1 910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abcesului, periostitei provocate de dintele 8 inclavat cu extracție dentară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caz tratat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2 387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alveolonevritei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Tratarea nevralgiei prin metoda blocării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Repoziționarea luxației acute a mandibulei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337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356.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Tratamentul afecțiunilor mucoasei cavității bucale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277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357.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Imobilizarea fracturilor 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imobilizare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2 051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5. Anestezie în stomatologie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358.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locală (infiltrație plexală)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184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359.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locală/loco-regională cu carpule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196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360.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topică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anestezie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135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361.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inhalatorie de scurtă durată cu Sevofluran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362.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scurtă durată cu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905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363.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scurtă durată cu Sevofluran și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1 073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364.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scurtă durată cu Sevofluran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2 061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365.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lungă durată cu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1 644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366.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de lungă durată cu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1 451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367.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Propofol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2 687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368.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Sevofluran și Propofol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3 058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369.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Anestezie generală combinată de lungă durată cu Sevofluran și Kalipsol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3 075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370.</w:t>
            </w:r>
          </w:p>
        </w:tc>
        <w:tc>
          <w:tcPr>
            <w:tcW w:w="598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Premedicație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433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u-RU"/>
              </w:rPr>
              <w:t>6. Profilaxie stomatologică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371.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Examinarea cavițății bucale cu recomandări privind igiena și profilaxia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121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372.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Detartraj cu ultrasunet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632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373.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Igienizarea cavității bucale cu ajutorul air flow-ului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520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374.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Periaj dentar profesional 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285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375.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Sigilarea fisurilor la un dinte cu scop profilactic 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dinte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200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376.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Profilaxia cariei dentare (prin remineralizare și infiltrare)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ședință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226</w:t>
            </w:r>
          </w:p>
        </w:tc>
      </w:tr>
      <w:tr w:rsidR="00AA7476" w:rsidRPr="00AA7476" w:rsidTr="00BE0B1E">
        <w:trPr>
          <w:trHeight w:val="20"/>
          <w:jc w:val="center"/>
        </w:trPr>
        <w:tc>
          <w:tcPr>
            <w:tcW w:w="1168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377.</w:t>
            </w:r>
          </w:p>
        </w:tc>
        <w:tc>
          <w:tcPr>
            <w:tcW w:w="5988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Prevenirea complicațiilor afecțiunilor mucoasei bucale</w:t>
            </w:r>
          </w:p>
        </w:tc>
        <w:tc>
          <w:tcPr>
            <w:tcW w:w="1383" w:type="dxa"/>
            <w:shd w:val="clear" w:color="000000" w:fill="FFFFFF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procedură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AA7476" w:rsidRPr="00AA7476" w:rsidRDefault="00AA7476" w:rsidP="00AA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AA74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162</w:t>
            </w:r>
          </w:p>
        </w:tc>
      </w:tr>
    </w:tbl>
    <w:p w:rsidR="004255E0" w:rsidRDefault="004255E0">
      <w:bookmarkStart w:id="0" w:name="_GoBack"/>
      <w:bookmarkEnd w:id="0"/>
    </w:p>
    <w:sectPr w:rsidR="0042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233"/>
    <w:multiLevelType w:val="hybridMultilevel"/>
    <w:tmpl w:val="63FE67F6"/>
    <w:lvl w:ilvl="0" w:tplc="C1B265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5A8"/>
    <w:multiLevelType w:val="hybridMultilevel"/>
    <w:tmpl w:val="EB6C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A40"/>
    <w:multiLevelType w:val="hybridMultilevel"/>
    <w:tmpl w:val="B36808E6"/>
    <w:lvl w:ilvl="0" w:tplc="16901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4ADF"/>
    <w:multiLevelType w:val="hybridMultilevel"/>
    <w:tmpl w:val="AFB8D236"/>
    <w:lvl w:ilvl="0" w:tplc="51FCCB4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D6C83"/>
    <w:multiLevelType w:val="hybridMultilevel"/>
    <w:tmpl w:val="DB20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8D4"/>
    <w:multiLevelType w:val="multilevel"/>
    <w:tmpl w:val="49CA4B1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6" w15:restartNumberingAfterBreak="0">
    <w:nsid w:val="2E6E744D"/>
    <w:multiLevelType w:val="hybridMultilevel"/>
    <w:tmpl w:val="C7FA428C"/>
    <w:lvl w:ilvl="0" w:tplc="57D278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E23BD5"/>
    <w:multiLevelType w:val="multilevel"/>
    <w:tmpl w:val="ED62695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8" w15:restartNumberingAfterBreak="0">
    <w:nsid w:val="388216C2"/>
    <w:multiLevelType w:val="hybridMultilevel"/>
    <w:tmpl w:val="B2C4BF24"/>
    <w:lvl w:ilvl="0" w:tplc="36386F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32824"/>
    <w:multiLevelType w:val="hybridMultilevel"/>
    <w:tmpl w:val="D7405486"/>
    <w:lvl w:ilvl="0" w:tplc="009A72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95E9D"/>
    <w:multiLevelType w:val="hybridMultilevel"/>
    <w:tmpl w:val="C586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E42F2"/>
    <w:multiLevelType w:val="hybridMultilevel"/>
    <w:tmpl w:val="05CE0766"/>
    <w:lvl w:ilvl="0" w:tplc="3A7E7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F183C"/>
    <w:multiLevelType w:val="multilevel"/>
    <w:tmpl w:val="B67AE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A96224"/>
    <w:multiLevelType w:val="hybridMultilevel"/>
    <w:tmpl w:val="9278B436"/>
    <w:lvl w:ilvl="0" w:tplc="F28C9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036B3"/>
    <w:multiLevelType w:val="hybridMultilevel"/>
    <w:tmpl w:val="010A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E45E1"/>
    <w:multiLevelType w:val="hybridMultilevel"/>
    <w:tmpl w:val="6B0408B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21BFC"/>
    <w:multiLevelType w:val="multilevel"/>
    <w:tmpl w:val="A3186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0BC5988"/>
    <w:multiLevelType w:val="hybridMultilevel"/>
    <w:tmpl w:val="BCBC136C"/>
    <w:lvl w:ilvl="0" w:tplc="E1C83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47340B"/>
    <w:multiLevelType w:val="hybridMultilevel"/>
    <w:tmpl w:val="32149B02"/>
    <w:lvl w:ilvl="0" w:tplc="14323B22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9825F2F"/>
    <w:multiLevelType w:val="hybridMultilevel"/>
    <w:tmpl w:val="BEA0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5210E"/>
    <w:multiLevelType w:val="hybridMultilevel"/>
    <w:tmpl w:val="BF7EFEAE"/>
    <w:lvl w:ilvl="0" w:tplc="F9B2B6D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907C4"/>
    <w:multiLevelType w:val="hybridMultilevel"/>
    <w:tmpl w:val="C96E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81ABB"/>
    <w:multiLevelType w:val="hybridMultilevel"/>
    <w:tmpl w:val="A8F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9049E"/>
    <w:multiLevelType w:val="multilevel"/>
    <w:tmpl w:val="DE1A0E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5" w:hanging="1440"/>
      </w:pPr>
      <w:rPr>
        <w:rFonts w:hint="default"/>
      </w:rPr>
    </w:lvl>
  </w:abstractNum>
  <w:abstractNum w:abstractNumId="24" w15:restartNumberingAfterBreak="0">
    <w:nsid w:val="7E857D5D"/>
    <w:multiLevelType w:val="multilevel"/>
    <w:tmpl w:val="62A23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5"/>
  </w:num>
  <w:num w:numId="5">
    <w:abstractNumId w:val="19"/>
  </w:num>
  <w:num w:numId="6">
    <w:abstractNumId w:val="11"/>
  </w:num>
  <w:num w:numId="7">
    <w:abstractNumId w:val="20"/>
  </w:num>
  <w:num w:numId="8">
    <w:abstractNumId w:val="4"/>
  </w:num>
  <w:num w:numId="9">
    <w:abstractNumId w:val="14"/>
  </w:num>
  <w:num w:numId="10">
    <w:abstractNumId w:val="7"/>
  </w:num>
  <w:num w:numId="11">
    <w:abstractNumId w:val="16"/>
  </w:num>
  <w:num w:numId="12">
    <w:abstractNumId w:val="12"/>
  </w:num>
  <w:num w:numId="13">
    <w:abstractNumId w:val="23"/>
  </w:num>
  <w:num w:numId="14">
    <w:abstractNumId w:val="24"/>
  </w:num>
  <w:num w:numId="15">
    <w:abstractNumId w:val="21"/>
  </w:num>
  <w:num w:numId="16">
    <w:abstractNumId w:val="10"/>
  </w:num>
  <w:num w:numId="17">
    <w:abstractNumId w:val="1"/>
  </w:num>
  <w:num w:numId="18">
    <w:abstractNumId w:val="22"/>
  </w:num>
  <w:num w:numId="19">
    <w:abstractNumId w:val="6"/>
  </w:num>
  <w:num w:numId="20">
    <w:abstractNumId w:val="3"/>
  </w:num>
  <w:num w:numId="21">
    <w:abstractNumId w:val="0"/>
  </w:num>
  <w:num w:numId="22">
    <w:abstractNumId w:val="2"/>
  </w:num>
  <w:num w:numId="23">
    <w:abstractNumId w:val="13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76"/>
    <w:rsid w:val="004255E0"/>
    <w:rsid w:val="00A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F8CF-2FF1-4564-9B50-A1F04F1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476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AA7476"/>
    <w:pPr>
      <w:keepNext/>
      <w:spacing w:after="0" w:line="240" w:lineRule="auto"/>
      <w:ind w:firstLine="709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AA7476"/>
    <w:pPr>
      <w:keepNext/>
      <w:spacing w:after="0" w:line="240" w:lineRule="auto"/>
      <w:ind w:firstLine="709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AA7476"/>
    <w:pPr>
      <w:keepNext/>
      <w:spacing w:after="0" w:line="240" w:lineRule="auto"/>
      <w:ind w:firstLine="709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x-none"/>
    </w:rPr>
  </w:style>
  <w:style w:type="paragraph" w:styleId="5">
    <w:name w:val="heading 5"/>
    <w:basedOn w:val="a"/>
    <w:next w:val="a"/>
    <w:link w:val="50"/>
    <w:qFormat/>
    <w:rsid w:val="00AA7476"/>
    <w:pPr>
      <w:keepNext/>
      <w:spacing w:after="0" w:line="240" w:lineRule="auto"/>
      <w:ind w:firstLine="709"/>
      <w:jc w:val="center"/>
      <w:outlineLvl w:val="4"/>
    </w:pPr>
    <w:rPr>
      <w:rFonts w:ascii="$Caslon" w:eastAsia="Times New Roman" w:hAnsi="$Caslon" w:cs="Times New Roman"/>
      <w:sz w:val="24"/>
      <w:szCs w:val="20"/>
      <w:lang w:val="x-none"/>
    </w:rPr>
  </w:style>
  <w:style w:type="paragraph" w:styleId="6">
    <w:name w:val="heading 6"/>
    <w:basedOn w:val="a"/>
    <w:next w:val="a"/>
    <w:link w:val="60"/>
    <w:qFormat/>
    <w:rsid w:val="00AA7476"/>
    <w:pPr>
      <w:keepNext/>
      <w:spacing w:after="0" w:line="240" w:lineRule="auto"/>
      <w:ind w:firstLine="709"/>
      <w:jc w:val="center"/>
      <w:outlineLvl w:val="5"/>
    </w:pPr>
    <w:rPr>
      <w:rFonts w:ascii="$Caslon" w:eastAsia="Times New Roman" w:hAnsi="$Caslon" w:cs="Times New Roman"/>
      <w:b/>
      <w:szCs w:val="20"/>
      <w:lang w:val="x-none"/>
    </w:rPr>
  </w:style>
  <w:style w:type="paragraph" w:styleId="7">
    <w:name w:val="heading 7"/>
    <w:basedOn w:val="a"/>
    <w:next w:val="a"/>
    <w:link w:val="70"/>
    <w:qFormat/>
    <w:rsid w:val="00AA7476"/>
    <w:pPr>
      <w:keepNext/>
      <w:spacing w:after="0" w:line="240" w:lineRule="auto"/>
      <w:ind w:firstLine="709"/>
      <w:jc w:val="center"/>
      <w:outlineLvl w:val="6"/>
    </w:pPr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AA7476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476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AA7476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AA7476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40">
    <w:name w:val="Заголовок 4 Знак"/>
    <w:basedOn w:val="a0"/>
    <w:link w:val="4"/>
    <w:rsid w:val="00AA7476"/>
    <w:rPr>
      <w:rFonts w:ascii="$Caslon" w:eastAsia="Times New Roman" w:hAnsi="$Caslon" w:cs="Times New Roman"/>
      <w:b/>
      <w:sz w:val="26"/>
      <w:szCs w:val="20"/>
      <w:lang w:val="x-none"/>
    </w:rPr>
  </w:style>
  <w:style w:type="character" w:customStyle="1" w:styleId="50">
    <w:name w:val="Заголовок 5 Знак"/>
    <w:basedOn w:val="a0"/>
    <w:link w:val="5"/>
    <w:rsid w:val="00AA7476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60">
    <w:name w:val="Заголовок 6 Знак"/>
    <w:basedOn w:val="a0"/>
    <w:link w:val="6"/>
    <w:rsid w:val="00AA7476"/>
    <w:rPr>
      <w:rFonts w:ascii="$Caslon" w:eastAsia="Times New Roman" w:hAnsi="$Caslon" w:cs="Times New Roman"/>
      <w:b/>
      <w:szCs w:val="20"/>
      <w:lang w:val="x-none"/>
    </w:rPr>
  </w:style>
  <w:style w:type="character" w:customStyle="1" w:styleId="70">
    <w:name w:val="Заголовок 7 Знак"/>
    <w:basedOn w:val="a0"/>
    <w:link w:val="7"/>
    <w:rsid w:val="00AA7476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AA7476"/>
    <w:rPr>
      <w:rFonts w:ascii="$Caslon" w:eastAsia="Times New Roman" w:hAnsi="$Caslon" w:cs="Times New Roman"/>
      <w:b/>
      <w:sz w:val="24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A7476"/>
  </w:style>
  <w:style w:type="paragraph" w:styleId="a3">
    <w:name w:val="Balloon Text"/>
    <w:basedOn w:val="a"/>
    <w:link w:val="a4"/>
    <w:uiPriority w:val="99"/>
    <w:rsid w:val="00AA7476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rsid w:val="00AA7476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harChar">
    <w:name w:val="Знак Знак Char Char Знак"/>
    <w:basedOn w:val="a"/>
    <w:rsid w:val="00AA7476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Normal (Web)"/>
    <w:basedOn w:val="a"/>
    <w:uiPriority w:val="99"/>
    <w:unhideWhenUsed/>
    <w:rsid w:val="00AA74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AA74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AA7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A747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A74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AA747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AA747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a">
    <w:name w:val="Table Grid"/>
    <w:basedOn w:val="a1"/>
    <w:uiPriority w:val="39"/>
    <w:rsid w:val="00AA747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AA74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a1"/>
    <w:next w:val="aa"/>
    <w:uiPriority w:val="59"/>
    <w:rsid w:val="00AA7476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A747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FrListare1">
    <w:name w:val="Fără Listare1"/>
    <w:next w:val="a2"/>
    <w:semiHidden/>
    <w:rsid w:val="00AA7476"/>
  </w:style>
  <w:style w:type="character" w:styleId="ac">
    <w:name w:val="page number"/>
    <w:basedOn w:val="a0"/>
    <w:rsid w:val="00AA7476"/>
  </w:style>
  <w:style w:type="paragraph" w:customStyle="1" w:styleId="tt">
    <w:name w:val="tt"/>
    <w:basedOn w:val="a"/>
    <w:rsid w:val="00AA7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a"/>
    <w:rsid w:val="00AA7476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AA747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AA7476"/>
    <w:rPr>
      <w:b/>
      <w:bCs/>
    </w:rPr>
  </w:style>
  <w:style w:type="character" w:customStyle="1" w:styleId="docsign11">
    <w:name w:val="doc_sign11"/>
    <w:rsid w:val="00AA747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AA7476"/>
  </w:style>
  <w:style w:type="character" w:customStyle="1" w:styleId="tal1">
    <w:name w:val="tal1"/>
    <w:rsid w:val="00AA7476"/>
  </w:style>
  <w:style w:type="table" w:customStyle="1" w:styleId="GrilTabel2">
    <w:name w:val="Grilă Tabel2"/>
    <w:basedOn w:val="a1"/>
    <w:next w:val="aa"/>
    <w:rsid w:val="00AA74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AA7476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AA7476"/>
  </w:style>
  <w:style w:type="paragraph" w:customStyle="1" w:styleId="cnam1">
    <w:name w:val="cnam1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val="en-US" w:eastAsia="zh-CN"/>
    </w:rPr>
  </w:style>
  <w:style w:type="character" w:styleId="ae">
    <w:name w:val="annotation reference"/>
    <w:rsid w:val="00AA7476"/>
    <w:rPr>
      <w:sz w:val="16"/>
      <w:szCs w:val="16"/>
    </w:rPr>
  </w:style>
  <w:style w:type="paragraph" w:styleId="af">
    <w:name w:val="annotation text"/>
    <w:basedOn w:val="a"/>
    <w:link w:val="af0"/>
    <w:rsid w:val="00AA7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af0">
    <w:name w:val="Текст примечания Знак"/>
    <w:basedOn w:val="a0"/>
    <w:link w:val="af"/>
    <w:rsid w:val="00AA747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1">
    <w:name w:val="annotation subject"/>
    <w:basedOn w:val="af"/>
    <w:next w:val="af"/>
    <w:link w:val="af2"/>
    <w:uiPriority w:val="99"/>
    <w:rsid w:val="00AA747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AA7476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AA7476"/>
  </w:style>
  <w:style w:type="character" w:customStyle="1" w:styleId="docheader">
    <w:name w:val="doc_header"/>
    <w:rsid w:val="00AA7476"/>
  </w:style>
  <w:style w:type="paragraph" w:customStyle="1" w:styleId="Style2">
    <w:name w:val="Style2"/>
    <w:basedOn w:val="a"/>
    <w:uiPriority w:val="99"/>
    <w:rsid w:val="00AA7476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747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7476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7476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AA7476"/>
    <w:rPr>
      <w:color w:val="0000FF"/>
      <w:u w:val="single"/>
    </w:rPr>
  </w:style>
  <w:style w:type="paragraph" w:customStyle="1" w:styleId="cp">
    <w:name w:val="cp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AA7476"/>
  </w:style>
  <w:style w:type="paragraph" w:styleId="HTML">
    <w:name w:val="HTML Preformatted"/>
    <w:basedOn w:val="a"/>
    <w:link w:val="HTML0"/>
    <w:uiPriority w:val="99"/>
    <w:unhideWhenUsed/>
    <w:rsid w:val="00AA7476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A7476"/>
    <w:rPr>
      <w:rFonts w:ascii="Consolas" w:eastAsia="Times New Roman" w:hAnsi="Consolas" w:cs="Times New Roman"/>
      <w:sz w:val="20"/>
      <w:szCs w:val="20"/>
      <w:lang w:val="en-US"/>
    </w:rPr>
  </w:style>
  <w:style w:type="paragraph" w:customStyle="1" w:styleId="CharChar1CharChar">
    <w:name w:val="Char Char1 Знак Знак Char Char Знак Знак"/>
    <w:basedOn w:val="a"/>
    <w:rsid w:val="00AA7476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styleId="af4">
    <w:name w:val="Emphasis"/>
    <w:basedOn w:val="a0"/>
    <w:uiPriority w:val="20"/>
    <w:qFormat/>
    <w:rsid w:val="00AA7476"/>
    <w:rPr>
      <w:i/>
      <w:iCs/>
    </w:rPr>
  </w:style>
  <w:style w:type="paragraph" w:customStyle="1" w:styleId="rg">
    <w:name w:val="rg"/>
    <w:basedOn w:val="a"/>
    <w:rsid w:val="00AA7476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A747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tyle3">
    <w:name w:val="Style3"/>
    <w:basedOn w:val="a"/>
    <w:uiPriority w:val="99"/>
    <w:rsid w:val="00AA7476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AA74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f6">
    <w:name w:val="Заголовок Знак"/>
    <w:basedOn w:val="a0"/>
    <w:link w:val="af5"/>
    <w:rsid w:val="00AA7476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f7">
    <w:name w:val="Subtitle"/>
    <w:basedOn w:val="a"/>
    <w:link w:val="af8"/>
    <w:qFormat/>
    <w:rsid w:val="00AA74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f8">
    <w:name w:val="Подзаголовок Знак"/>
    <w:basedOn w:val="a0"/>
    <w:link w:val="af7"/>
    <w:rsid w:val="00AA7476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f9">
    <w:name w:val="caption"/>
    <w:basedOn w:val="a"/>
    <w:next w:val="a"/>
    <w:qFormat/>
    <w:rsid w:val="00AA747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styleId="afa">
    <w:name w:val="FollowedHyperlink"/>
    <w:basedOn w:val="a0"/>
    <w:uiPriority w:val="99"/>
    <w:semiHidden/>
    <w:unhideWhenUsed/>
    <w:rsid w:val="00AA7476"/>
    <w:rPr>
      <w:color w:val="800080"/>
      <w:u w:val="single"/>
    </w:rPr>
  </w:style>
  <w:style w:type="paragraph" w:customStyle="1" w:styleId="font5">
    <w:name w:val="font5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AA74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AA747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10">
    <w:name w:val="font10"/>
    <w:basedOn w:val="a"/>
    <w:rsid w:val="00AA747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AA747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AA74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AA74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AA7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A7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AA7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A7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AA747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AA74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AA7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AA7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AA7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3">
    <w:name w:val="font13"/>
    <w:basedOn w:val="a"/>
    <w:rsid w:val="00AA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A747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A7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AA7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AA7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4346</Words>
  <Characters>24773</Characters>
  <Application>Microsoft Office Word</Application>
  <DocSecurity>0</DocSecurity>
  <Lines>206</Lines>
  <Paragraphs>58</Paragraphs>
  <ScaleCrop>false</ScaleCrop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2025-02-06T08:40:00Z</dcterms:created>
  <dcterms:modified xsi:type="dcterms:W3CDTF">2025-02-06T08:40:00Z</dcterms:modified>
</cp:coreProperties>
</file>